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01" w:rsidRPr="000B45AA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</w:rPr>
      </w:pPr>
      <w:r w:rsidRPr="000B45AA">
        <w:rPr>
          <w:rFonts w:ascii="Times New Roman" w:hAnsi="Times New Roman" w:cs="Times New Roman"/>
          <w:b/>
          <w:color w:val="000000"/>
        </w:rPr>
        <w:t>Publications scientifiques d’Étienne Herrbach</w:t>
      </w:r>
    </w:p>
    <w:p w:rsid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1985</w:t>
      </w:r>
    </w:p>
    <w:p w:rsid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1985. Rôle des sémiochimiques dans les relations pucerons-plantes. I. - Généralités et phéromones d'alarme. Agronomie 5 (3), 283-286. [doi.org/10.1051/agro:198550311].</w:t>
      </w:r>
    </w:p>
    <w:p w:rsidR="002009AC" w:rsidRPr="002009AC" w:rsidRDefault="00AE7601" w:rsidP="002009AC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1985. Rôle des sémiochimiques dans les relations pucerons-plantes. II. – Les substances allélochimiques. Agronomie 5 (4), 375-384. [doi.org/10.1051/agro:198550412].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009AC" w:rsidRPr="00944E66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944E6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1987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44E6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 w:rsidRPr="00944E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1987.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Effect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dodecanoic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colonisation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sugar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secondary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spread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Annals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Applied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Biology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111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(2),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477-482.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[doi.org/10.1111/j.1744-7348.1987.tb01477.x].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1991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Ziegler-Graff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Lot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Rabenstein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Bouchery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1991.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Detection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BMYV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BWYV-isolates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using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monoclonal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antibodies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radioactive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RNA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probes,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relationships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among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luteoviruses.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Annals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Applied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Biology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118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127-138.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[doi.org/10.1111/j.1744-7348.1991.tb06091.x].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P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2009AC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1992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Leiser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R.M.,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Ziegler-Graff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Reutenauer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Guilley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Richards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Jonard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1992.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Agroinfection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alternative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insects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infecting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with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western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Proceedings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National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Academy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Sciences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USA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89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(19),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9136-9140.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Bouchery Y.,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1992. Méthode d'étude de la dispersion d'un virus de la jaunisse de la betterave (BMYV) par la faune aphidienne naturelle. Mémoires de la Société royale belge </w:t>
      </w:r>
      <w:r w:rsidRPr="009A7201">
        <w:rPr>
          <w:rFonts w:ascii="Times New Roman" w:hAnsi="Times New Roman" w:cs="Times New Roman"/>
          <w:color w:val="000000"/>
          <w:sz w:val="20"/>
          <w:szCs w:val="20"/>
        </w:rPr>
        <w:t>d'Entomologie 35, 241-243.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A7201">
        <w:rPr>
          <w:rFonts w:ascii="Times New Roman" w:hAnsi="Times New Roman" w:cs="Times New Roman"/>
          <w:color w:val="000000"/>
          <w:sz w:val="20"/>
          <w:szCs w:val="20"/>
        </w:rPr>
        <w:t xml:space="preserve">Lecoq H., Bourdin D., Wipf-Scheibel C., Bon M., Lot H., Lemaire O., </w:t>
      </w:r>
      <w:r w:rsidRPr="009A7201">
        <w:rPr>
          <w:rFonts w:ascii="Times New Roman" w:hAnsi="Times New Roman" w:cs="Times New Roman"/>
          <w:b/>
          <w:color w:val="000000"/>
          <w:sz w:val="20"/>
          <w:szCs w:val="20"/>
        </w:rPr>
        <w:t>Herrbach É.,</w:t>
      </w:r>
      <w:r w:rsidRPr="009A7201">
        <w:rPr>
          <w:rFonts w:ascii="Times New Roman" w:hAnsi="Times New Roman" w:cs="Times New Roman"/>
          <w:color w:val="000000"/>
          <w:sz w:val="20"/>
          <w:szCs w:val="20"/>
        </w:rPr>
        <w:t xml:space="preserve"> 1992.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new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disease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cucurbits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caused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cucurbit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aphid-borne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41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(6),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749-761.</w:t>
      </w:r>
    </w:p>
    <w:p w:rsid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1992.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Alarm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pheromones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allelochemics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means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control.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Netherlands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98,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Suppl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63-71.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P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2009AC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1993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Hajimorad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M.R.,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Kheyri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Bananej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1993.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First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report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occurrence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identification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mild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Karadj,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Iran.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Iranian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(2-3),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102-103.</w:t>
      </w:r>
    </w:p>
    <w:p w:rsidR="003D4E94" w:rsidRDefault="003D4E94" w:rsidP="003D4E94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3D4E94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1994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1994.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Serological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detection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western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non-vector,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Brevicoryne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brassicae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(Homoptera: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Aphididae).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Phytopathology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142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43-50.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1995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Heuvel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J.F.J.M.,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Verbeek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Ziegler-Graff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Reutenauer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Garaud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Guilley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Richards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Jonard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1995.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western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requires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minor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capsid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read-through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protein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P74.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EMBO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14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(4),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650-659.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Stevens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Bouchery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Smith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1995.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Detection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sugarbeet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infecting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mild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isolates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with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specific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RNA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probe.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Phytopathology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85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(12),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1513-1518.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1996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Ziegler-Graff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Mutterer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J.D.,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Simonis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M.T.,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Guilley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Richards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K.E.,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Jonard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1996.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coat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protein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western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essential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systemic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infection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but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gene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products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P29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P19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dispensable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systemic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infection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Molecular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Plant-Microbe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Interactions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(6),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501-510.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1997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Bruyère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Ziegler-Graff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Simonis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M.T.,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Heuvel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J.F.J.M.,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Richards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Guilley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Jonard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1997.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Effects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mutations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western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readthrough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protein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its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expression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packaging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accumulation,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symptoms,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230,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323-334.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9E0772">
      <w:pPr>
        <w:keepNext/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lastRenderedPageBreak/>
        <w:t>1999</w:t>
      </w:r>
    </w:p>
    <w:p w:rsidR="00AE7601" w:rsidRPr="00AE7601" w:rsidRDefault="00AE7601" w:rsidP="009E0772">
      <w:pPr>
        <w:keepNext/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1999.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Introduction.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Smith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Barker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(Eds),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Luteoviridae,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CAB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International,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UK,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pp.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85-88.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1999.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Vector-virus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interactions: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Effect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infection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vector.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Smith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Barker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(Eds),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Luteoviridae,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CAB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International,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UK,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pp.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123-125.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2000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Mutterer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J.D.,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Scheidecker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Simonis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M.T.,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Richards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Ziegler-Graff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2000.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Effects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point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mutations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readthrough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domain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western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minor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capsid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protein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accumulation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74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(3),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1140-1148.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Hauser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Stevens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Mougel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Smith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Fritsch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2000.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Biological,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serological,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molecular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variability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suggest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three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distinct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polerovirus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species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nfecting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rape.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</w:rPr>
        <w:t>Phytopathology 90 (5), 460-466.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009AC" w:rsidRPr="00293C8D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93C8D">
        <w:rPr>
          <w:rFonts w:ascii="Times New Roman" w:hAnsi="Times New Roman" w:cs="Times New Roman"/>
          <w:b/>
          <w:color w:val="000000"/>
          <w:sz w:val="20"/>
          <w:szCs w:val="20"/>
        </w:rPr>
        <w:t>2001</w:t>
      </w:r>
    </w:p>
    <w:p w:rsid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</w:rPr>
      </w:pPr>
      <w:r w:rsidRPr="00293C8D">
        <w:rPr>
          <w:rFonts w:ascii="Times New Roman" w:hAnsi="Times New Roman" w:cs="Times New Roman"/>
          <w:color w:val="000000"/>
          <w:sz w:val="20"/>
          <w:szCs w:val="20"/>
        </w:rPr>
        <w:t xml:space="preserve">Brault V., </w:t>
      </w:r>
      <w:r w:rsidRPr="00293C8D">
        <w:rPr>
          <w:rFonts w:ascii="Times New Roman" w:hAnsi="Times New Roman" w:cs="Times New Roman"/>
          <w:b/>
          <w:color w:val="000000"/>
          <w:sz w:val="20"/>
          <w:szCs w:val="20"/>
        </w:rPr>
        <w:t>Herrbach É.,</w:t>
      </w:r>
      <w:r w:rsidRPr="00293C8D">
        <w:rPr>
          <w:rFonts w:ascii="Times New Roman" w:hAnsi="Times New Roman" w:cs="Times New Roman"/>
          <w:color w:val="000000"/>
          <w:sz w:val="20"/>
          <w:szCs w:val="20"/>
        </w:rPr>
        <w:t xml:space="preserve"> Hauser S., Lemaire O., 2001. </w:t>
      </w:r>
      <w:r>
        <w:rPr>
          <w:rFonts w:ascii="Times New Roman" w:hAnsi="Times New Roman" w:cs="Times New Roman"/>
          <w:color w:val="000000"/>
          <w:sz w:val="20"/>
          <w:szCs w:val="20"/>
        </w:rPr>
        <w:t>Les Luteoviridae : propriétés biologiques et évolution. Virologie 5 (1), 9-21.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Reinbold C., Gildow F.E.,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Ziegler-Graff V., Gonçalves M.C., van den Heuvel J.P.J.M., </w:t>
      </w:r>
      <w:r w:rsidRPr="00AE7601">
        <w:rPr>
          <w:rFonts w:ascii="Times New Roman" w:hAnsi="Times New Roman" w:cs="Times New Roman"/>
          <w:color w:val="000000"/>
          <w:sz w:val="20"/>
          <w:szCs w:val="20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</w:rPr>
        <w:t>2001.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Studies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role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minor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capsid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protein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transport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western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through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Myzus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persicae.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General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82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(8),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1995-2007.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2003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Reinbold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2003.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Posterior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midgut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hindgut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both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sites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acquisition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Cucurbit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aphid-borne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Myzus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persicae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gossypii.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General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84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(12),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3473-3484.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4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https://doi.org/10.1099/vir.0.19415-0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Pr="00293C8D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293C8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2004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93C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Poutaraud A., Desbiez C., Lemaire O., Lecoq H., </w:t>
      </w:r>
      <w:r w:rsidRPr="00293C8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 w:rsidRPr="00293C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2004.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Characterisation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new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potyvirus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species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infecting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meadow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saffron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(Colchicum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autumnale).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Archives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149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(7),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1267-1277.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5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https://doi.org/10.1007/s00705-004-0307-x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2004.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Arthropod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Lapierre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Signoret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P.A.,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Eds,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Diseases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Poaceae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(Gramineae),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INRA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Editions,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Versailles,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pp.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114-124.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2005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231F2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Stevens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Freeman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Liu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H.Y.,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2005.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poleroviruses: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close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riends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distant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relatives?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Molecular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1-9.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6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https://doi.org/10.1111/j.1365-3059.2005.01155.x</w:t>
        </w:r>
      </w:hyperlink>
      <w:r w:rsidR="008E2551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  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Périgon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Reinbold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Erdinger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Scheidecker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Richards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Ziegler-Graff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2005.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polerovirus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minor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capsid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protein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determines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vector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specificity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ntestinal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tropism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79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(15),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9685-9693.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7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https://doi.org/10.1128/JVI.79.15.9685–9693.2005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2006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2006.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Luteoviruses.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Encyclopedia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Life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Sciences,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John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Wiley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&amp;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Sons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Ltd.,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Chichester,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UK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8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https://doi.org/10.1038/npg.els.0004281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2006</w:t>
      </w:r>
    </w:p>
    <w:p w:rsidR="00AE7601" w:rsidRPr="002C7333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66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B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rault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Reinbold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2007.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Electron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microscopy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studies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luteovirid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>t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ransmission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by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aphids.</w:t>
      </w:r>
      <w:r w:rsid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E7601" w:rsidRPr="002C733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Micron 38 (3), 302-312. </w:t>
      </w:r>
      <w:hyperlink r:id="rId9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https://doi.org/10.1016/j.micron.2006.04.00</w:t>
        </w:r>
      </w:hyperlink>
      <w:r w:rsidR="008E2551">
        <w:rPr>
          <w:rFonts w:ascii="Times New Roman" w:hAnsi="Times New Roman" w:cs="Times New Roman"/>
          <w:color w:val="000066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2007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C733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Kozlowska-Makulska A., Szyndel M.S., Syller J., Bouzoubaa S., Beuve M., Lemaire O.,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 w:rsidRPr="002C733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2007.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First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report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natural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occurrence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chlorosis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Poland.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Disease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91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(3),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326.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0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https://doi.org/10.1094/PDIS-91-3-0326C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2008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131413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Hommay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Komar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2008.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arvae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Parthenolecanium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corni.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European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121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(2),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185-188.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1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https://doi.org/10.1007/s10658-007-9244-3</w:t>
        </w:r>
      </w:hyperlink>
      <w:r w:rsidR="008E2551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9E0772">
      <w:pPr>
        <w:keepNext/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lastRenderedPageBreak/>
        <w:t>2009</w:t>
      </w:r>
    </w:p>
    <w:p w:rsidR="00AE7601" w:rsidRPr="00AE7601" w:rsidRDefault="00AE7601" w:rsidP="009E0772">
      <w:pPr>
        <w:keepNext/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Laimer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Goldschmidt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Minafra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Bianco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Wetzel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2009.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Resistance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viruses,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phytoplasmas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their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vectors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Europe: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review.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91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7-23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2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https://doi.org/10.4454/jpp.v91i1.620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131413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Kozlowska-Makulska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Beuve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Syller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Szyndel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M.S.,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Bouzoubaa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2009.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Aphid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transmissibility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different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European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Polerovirus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isolates.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European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125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(2),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337-341.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3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https://doi.org/10.1007/s10658-009-9474-7</w:t>
        </w:r>
      </w:hyperlink>
      <w:r w:rsidR="008E2551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Bertsch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Beuve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Dolja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Wirth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Pelsy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2009.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Hypothesis: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Retention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virus-derived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sequences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nuclear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genome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potential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pathway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resistance.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Biology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Direct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4,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21.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4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https://doi.org/10.1186/1745-6150-4-21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2010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Kozlowska-Makulska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Guilley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Szyndel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M.S.,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Beuve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Bouzoubaa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2010.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P0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proteins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European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beet-infecting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poleroviruses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display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variable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RNA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silencing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suppressor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activity.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General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91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(4),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1082-1091.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5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https://doi.org/10.1099/vir.0.016360-0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2011</w:t>
      </w:r>
    </w:p>
    <w:p w:rsidR="00AE7601" w:rsidRPr="00944E66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231F20"/>
          <w:sz w:val="20"/>
          <w:szCs w:val="20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Brault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Rodriguez-Medina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2011.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Luteoviruses.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Encyclopedia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Life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Sciences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(ELS),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John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Wiley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&amp;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Sons,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Ltd: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Chichester,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6" w:history="1">
        <w:r w:rsidR="008E2551" w:rsidRPr="00944E66">
          <w:rPr>
            <w:rStyle w:val="Lienhypertexte"/>
            <w:rFonts w:ascii="Times New Roman" w:hAnsi="Times New Roman" w:cs="Times New Roman"/>
            <w:sz w:val="20"/>
            <w:szCs w:val="20"/>
          </w:rPr>
          <w:t>https://doi.org/10.1002/9780470015902.a0000751.pub3</w:t>
        </w:r>
      </w:hyperlink>
      <w:r w:rsidR="008E2551" w:rsidRPr="00944E6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:rsidR="003D4E94" w:rsidRPr="00944E66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2012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Le Maguet J., Beuve M.,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Lemaire O., 2012.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five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ampeloviruses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two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vitiviruses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Phenacoccus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aceris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(Signoret).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Phytopathology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102,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717-723.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7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https://doi.org/10.1094/PHYTO-10-11-0289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2013</w:t>
      </w:r>
    </w:p>
    <w:p w:rsid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Sauvion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Boudon-Padieu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Lett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Reynaud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Sforza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2013.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Une relation trophique originale : la vection entomophile d’agents pathogènes. In Sauvion N., Calatayud P.A., Thiéry D., Marion-Poll F. (Eds), Interactions Insectes-Plantes, Quae et IRD Editions, pp. 511-548.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131413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Le Maguet J., Fuchs, J.J., Beuve M., Chadoeuf J.,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Lemaire O., 2013.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role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mealybug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Phenacoccus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aceris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spread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leafroll-associated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virus-1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(GLRaV-1)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two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French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vineyards.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European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Journal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131413"/>
          <w:sz w:val="20"/>
          <w:szCs w:val="20"/>
          <w:lang w:val="en-US"/>
        </w:rPr>
        <w:t>135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131413"/>
          <w:sz w:val="20"/>
          <w:szCs w:val="20"/>
          <w:lang w:val="en-US"/>
        </w:rPr>
        <w:t>(2),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131413"/>
          <w:sz w:val="20"/>
          <w:szCs w:val="20"/>
          <w:lang w:val="en-US"/>
        </w:rPr>
        <w:t>415–427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8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https://doi.org/10.1007/s10658-012-0099-x</w:t>
        </w:r>
      </w:hyperlink>
      <w:r w:rsidR="008E2551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Almeida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R.P.P.,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Daane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Bell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V.A.,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Blaisdell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G.K.,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Cooper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M.L.,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Pietersen,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2013.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Ecology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management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leafroll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disease.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Frontiers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Microbiology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4,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94,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1-13.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19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https://doi.org/10.3389/fmicb.2013.00094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2014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Correa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M.C.G.,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Zaviezo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Maguet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Malausa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2014.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Characterization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microsatellite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DNA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libraries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from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three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mealybug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species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development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microsatellite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markers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Pseudococcus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viburni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(Hemiptera: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Pseudococcidae).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Bulletin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Entomological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Research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104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(2),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213-220.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20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https://doi.org/10.1017/S0007485313000667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2015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Kozlowska-Makulska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Hasiow-Jaroszewska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Szyndel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M.S.,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Bouzoubaa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Beuve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2015.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Phylogenetic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relationships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occurrence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interspecific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recombination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between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chlorosis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(BChV)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mild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yellowing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(BMYV).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Archives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160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(2),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429-433.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21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https://doi.org/10.1007/s00705-014-2245-6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2016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Maguet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Hommay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mealybugs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soft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scales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(Hemiptera,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Coccoidea).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Brown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J.K.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(Ed.),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Vector-Mediated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Plant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Pathogens.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American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Phytopathological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Society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Press,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Paul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MN,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USA,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pp.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147-161.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2017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Alliaume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Prator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Daane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K.M.,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Cooper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M.L.,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Almeida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R.P.P.,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2017.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Vector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transmission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grapevine-leafroll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associated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viruses.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Meng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B.Z.,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Martelli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G.P.,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Fuchs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Golino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(Eds),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Viruses: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Molecular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Biology,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Diagnostics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Management,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Springer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International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Publishing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AG,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pp.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483-503.</w:t>
      </w:r>
    </w:p>
    <w:p w:rsidR="003D4E94" w:rsidRDefault="003D4E94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9E0772">
      <w:pPr>
        <w:keepNext/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lastRenderedPageBreak/>
        <w:t>2018</w:t>
      </w:r>
    </w:p>
    <w:p w:rsidR="00AE7601" w:rsidRPr="00AE7601" w:rsidRDefault="00AE7601" w:rsidP="009E0772">
      <w:pPr>
        <w:keepNext/>
        <w:autoSpaceDE w:val="0"/>
        <w:autoSpaceDN w:val="0"/>
        <w:adjustRightInd w:val="0"/>
        <w:ind w:left="425" w:hanging="425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Alliaume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Reinbold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Uzest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2018.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Mouthparts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morphology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mealybug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944E66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Phenacoccus aceris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(Signoret)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(Hemiptera: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Pseudococcidae).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Bulletin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2C7333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nsectology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71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(1),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1-9.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22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www.bulletinofinsectology.org/Contents/new-contents.htm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Beuve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Hily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Alliaume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Reinbold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Maguet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Candresse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2018.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complex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virome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unveiled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deep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sequencing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analysis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RNAs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from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French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Pinot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Noir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grapevine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exhibiting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strong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leafroll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symptoms.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Archives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163,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2937–2946.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23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https://doi.org/10.1007/s00705-018-3949-9</w:t>
        </w:r>
      </w:hyperlink>
      <w:r w:rsidR="008E25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AE7601" w:rsidRPr="00AE7601" w:rsidRDefault="00AE7601" w:rsidP="00AE7601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Alliaume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Reinbold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C.,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Erhardt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Beuve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Hily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J.M.,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Lemaire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O.,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B45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Herrbach É.,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2018.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Virus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preparations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from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mixed-infected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P70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Pinot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Noir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accession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exhibit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GLRaV-1/GVA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9C1F6C">
        <w:rPr>
          <w:rFonts w:ascii="Times New Roman" w:hAnsi="Times New Roman" w:cs="Times New Roman"/>
          <w:color w:val="000000"/>
          <w:sz w:val="20"/>
          <w:szCs w:val="20"/>
          <w:lang w:val="en-US"/>
        </w:rPr>
        <w:t>‘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end-to-end'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particles.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Archives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Virology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163,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E7601">
        <w:rPr>
          <w:rFonts w:ascii="Times New Roman" w:hAnsi="Times New Roman" w:cs="Times New Roman"/>
          <w:color w:val="000000"/>
          <w:sz w:val="20"/>
          <w:szCs w:val="20"/>
          <w:lang w:val="en-US"/>
        </w:rPr>
        <w:t>3149–3154.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hyperlink r:id="rId24" w:history="1">
        <w:r w:rsidR="008E2551" w:rsidRPr="00C90B58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https://doi.org/10.1007/s00705-018-3995-3</w:t>
        </w:r>
      </w:hyperlink>
      <w:r w:rsidR="008E2551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</w:t>
      </w:r>
    </w:p>
    <w:p w:rsidR="003D4E94" w:rsidRDefault="003D4E94" w:rsidP="009C1F6C">
      <w:pPr>
        <w:autoSpaceDE w:val="0"/>
        <w:autoSpaceDN w:val="0"/>
        <w:adjustRightInd w:val="0"/>
        <w:ind w:left="426" w:hanging="426"/>
        <w:rPr>
          <w:rFonts w:ascii="Times" w:hAnsi="Times" w:cs="Times New Roman"/>
          <w:b/>
          <w:color w:val="000000"/>
          <w:sz w:val="20"/>
          <w:szCs w:val="20"/>
          <w:lang w:val="en-US"/>
        </w:rPr>
      </w:pPr>
    </w:p>
    <w:p w:rsidR="002009AC" w:rsidRDefault="002009AC" w:rsidP="009C1F6C">
      <w:pPr>
        <w:autoSpaceDE w:val="0"/>
        <w:autoSpaceDN w:val="0"/>
        <w:adjustRightInd w:val="0"/>
        <w:ind w:left="426" w:hanging="426"/>
        <w:rPr>
          <w:rFonts w:ascii="Times" w:hAnsi="Times" w:cs="Times New Roman"/>
          <w:b/>
          <w:color w:val="000000"/>
          <w:sz w:val="20"/>
          <w:szCs w:val="20"/>
          <w:lang w:val="en-US"/>
        </w:rPr>
      </w:pPr>
      <w:r>
        <w:rPr>
          <w:rFonts w:ascii="Times" w:hAnsi="Times" w:cs="Times New Roman"/>
          <w:b/>
          <w:color w:val="000000"/>
          <w:sz w:val="20"/>
          <w:szCs w:val="20"/>
          <w:lang w:val="en-US"/>
        </w:rPr>
        <w:t>2019</w:t>
      </w:r>
    </w:p>
    <w:p w:rsidR="009C1F6C" w:rsidRPr="009C1F6C" w:rsidRDefault="00AE7601" w:rsidP="009C1F6C">
      <w:pPr>
        <w:autoSpaceDE w:val="0"/>
        <w:autoSpaceDN w:val="0"/>
        <w:adjustRightInd w:val="0"/>
        <w:ind w:left="426" w:hanging="426"/>
        <w:rPr>
          <w:rFonts w:ascii="Times" w:hAnsi="Times" w:cs="Times New Roman"/>
          <w:color w:val="000000"/>
          <w:sz w:val="20"/>
          <w:szCs w:val="20"/>
          <w:lang w:val="en-US"/>
        </w:rPr>
      </w:pPr>
      <w:r w:rsidRPr="009C1F6C">
        <w:rPr>
          <w:rFonts w:ascii="Times" w:hAnsi="Times" w:cs="Times New Roman"/>
          <w:color w:val="000000"/>
          <w:sz w:val="20"/>
          <w:szCs w:val="20"/>
          <w:lang w:val="en-US"/>
        </w:rPr>
        <w:t xml:space="preserve">Hommay G., Wiss, L., Chadoeuf J., Le Maguet, J., Beuve, M., </w:t>
      </w:r>
      <w:r w:rsidRPr="000B45AA">
        <w:rPr>
          <w:rFonts w:ascii="Times" w:hAnsi="Times" w:cs="Times New Roman"/>
          <w:b/>
          <w:color w:val="000000"/>
          <w:sz w:val="20"/>
          <w:szCs w:val="20"/>
          <w:lang w:val="en-US"/>
        </w:rPr>
        <w:t>Herrbach É.,</w:t>
      </w:r>
      <w:r w:rsidRPr="009C1F6C">
        <w:rPr>
          <w:rFonts w:ascii="Times" w:hAnsi="Times" w:cs="Times New Roman"/>
          <w:color w:val="000000"/>
          <w:sz w:val="20"/>
          <w:szCs w:val="20"/>
          <w:lang w:val="en-US"/>
        </w:rPr>
        <w:t xml:space="preserve"> 2019. Gone with the wind: Aerial dispersal of </w:t>
      </w:r>
      <w:r w:rsidRPr="003D4E94">
        <w:rPr>
          <w:rFonts w:ascii="Times" w:hAnsi="Times" w:cs="Times New Roman"/>
          <w:i/>
          <w:color w:val="000000"/>
          <w:sz w:val="20"/>
          <w:szCs w:val="20"/>
          <w:lang w:val="en-US"/>
        </w:rPr>
        <w:t>Parthenolecanium corni</w:t>
      </w:r>
      <w:r w:rsidRPr="009C1F6C">
        <w:rPr>
          <w:rFonts w:ascii="Times" w:hAnsi="Times" w:cs="Times New Roman"/>
          <w:color w:val="000000"/>
          <w:sz w:val="20"/>
          <w:szCs w:val="20"/>
          <w:lang w:val="en-US"/>
        </w:rPr>
        <w:t xml:space="preserve"> crawlers in a newly planted grapevine plot. Annals of Applied Biology 174, 372–387. </w:t>
      </w:r>
      <w:hyperlink r:id="rId25" w:history="1">
        <w:r w:rsidR="008E2551" w:rsidRPr="00C90B58">
          <w:rPr>
            <w:rStyle w:val="Lienhypertexte"/>
            <w:rFonts w:ascii="Times" w:hAnsi="Times" w:cs="Times New Roman"/>
            <w:sz w:val="20"/>
            <w:szCs w:val="20"/>
            <w:lang w:val="en-US"/>
          </w:rPr>
          <w:t>https://doi.org/10.1111/aab.12505</w:t>
        </w:r>
      </w:hyperlink>
      <w:r w:rsidR="008E2551">
        <w:rPr>
          <w:rFonts w:ascii="Times" w:hAnsi="Times" w:cs="Times New Roman"/>
          <w:color w:val="000000"/>
          <w:sz w:val="20"/>
          <w:szCs w:val="20"/>
          <w:lang w:val="en-US"/>
        </w:rPr>
        <w:t xml:space="preserve"> </w:t>
      </w:r>
    </w:p>
    <w:p w:rsidR="003D4E94" w:rsidRDefault="003D4E94" w:rsidP="009C1F6C">
      <w:pPr>
        <w:autoSpaceDE w:val="0"/>
        <w:autoSpaceDN w:val="0"/>
        <w:adjustRightInd w:val="0"/>
        <w:ind w:left="426" w:hanging="426"/>
        <w:rPr>
          <w:rFonts w:ascii="Times" w:hAnsi="Times" w:cs="Times New Roman"/>
          <w:b/>
          <w:sz w:val="20"/>
          <w:szCs w:val="20"/>
          <w:lang w:val="en-US"/>
        </w:rPr>
      </w:pPr>
    </w:p>
    <w:p w:rsidR="002009AC" w:rsidRDefault="002009AC" w:rsidP="009C1F6C">
      <w:pPr>
        <w:autoSpaceDE w:val="0"/>
        <w:autoSpaceDN w:val="0"/>
        <w:adjustRightInd w:val="0"/>
        <w:ind w:left="426" w:hanging="426"/>
        <w:rPr>
          <w:rFonts w:ascii="Times" w:hAnsi="Times" w:cs="Times New Roman"/>
          <w:b/>
          <w:sz w:val="20"/>
          <w:szCs w:val="20"/>
          <w:lang w:val="en-US"/>
        </w:rPr>
      </w:pPr>
      <w:r>
        <w:rPr>
          <w:rFonts w:ascii="Times" w:hAnsi="Times" w:cs="Times New Roman"/>
          <w:b/>
          <w:sz w:val="20"/>
          <w:szCs w:val="20"/>
          <w:lang w:val="en-US"/>
        </w:rPr>
        <w:t>2020</w:t>
      </w:r>
    </w:p>
    <w:p w:rsidR="009C1F6C" w:rsidRPr="009C1F6C" w:rsidRDefault="002C7333" w:rsidP="009C1F6C">
      <w:pPr>
        <w:autoSpaceDE w:val="0"/>
        <w:autoSpaceDN w:val="0"/>
        <w:adjustRightInd w:val="0"/>
        <w:ind w:left="426" w:hanging="426"/>
        <w:rPr>
          <w:rFonts w:ascii="Times" w:hAnsi="Times" w:cs="Times New Roman"/>
          <w:color w:val="000000"/>
          <w:sz w:val="20"/>
          <w:szCs w:val="20"/>
          <w:lang w:val="en-US"/>
        </w:rPr>
      </w:pPr>
      <w:r w:rsidRPr="009C1F6C">
        <w:rPr>
          <w:rFonts w:ascii="Times" w:hAnsi="Times" w:cs="Times New Roman"/>
          <w:sz w:val="20"/>
          <w:szCs w:val="20"/>
          <w:lang w:val="en-US"/>
        </w:rPr>
        <w:t xml:space="preserve">Boissinot S., Brault V., </w:t>
      </w:r>
      <w:r w:rsidRPr="000B45AA">
        <w:rPr>
          <w:rFonts w:ascii="Times" w:hAnsi="Times" w:cs="Times New Roman"/>
          <w:b/>
          <w:sz w:val="20"/>
          <w:szCs w:val="20"/>
          <w:lang w:val="en-US"/>
        </w:rPr>
        <w:t>Herrbach</w:t>
      </w:r>
      <w:r w:rsidRPr="000B45AA">
        <w:rPr>
          <w:rFonts w:ascii="Times" w:hAnsi="Times" w:cs="Times New Roman"/>
          <w:b/>
          <w:caps/>
          <w:sz w:val="20"/>
          <w:szCs w:val="20"/>
          <w:lang w:val="en-US"/>
        </w:rPr>
        <w:t xml:space="preserve"> </w:t>
      </w:r>
      <w:r w:rsidRPr="000B45AA">
        <w:rPr>
          <w:rFonts w:ascii="Times" w:hAnsi="Times" w:cs="Times New Roman"/>
          <w:b/>
          <w:sz w:val="20"/>
          <w:szCs w:val="20"/>
          <w:lang w:val="en-US"/>
        </w:rPr>
        <w:t>É</w:t>
      </w:r>
      <w:r w:rsidRPr="000B45AA">
        <w:rPr>
          <w:rFonts w:ascii="Times" w:hAnsi="Times" w:cs="Times New Roman"/>
          <w:b/>
          <w:caps/>
          <w:sz w:val="20"/>
          <w:szCs w:val="20"/>
          <w:lang w:val="en-US"/>
        </w:rPr>
        <w:t>.</w:t>
      </w:r>
      <w:r w:rsidRPr="000B45AA">
        <w:rPr>
          <w:rFonts w:ascii="Times" w:hAnsi="Times" w:cs="Times New Roman"/>
          <w:b/>
          <w:sz w:val="20"/>
          <w:szCs w:val="20"/>
          <w:lang w:val="en-US"/>
        </w:rPr>
        <w:t>,</w:t>
      </w:r>
      <w:r w:rsidRPr="009C1F6C">
        <w:rPr>
          <w:rFonts w:ascii="Times" w:hAnsi="Times" w:cs="Times New Roman"/>
          <w:sz w:val="20"/>
          <w:szCs w:val="20"/>
          <w:lang w:val="en-US"/>
        </w:rPr>
        <w:t xml:space="preserve"> 2020. Luteovirids. </w:t>
      </w:r>
      <w:r w:rsidRPr="009C1F6C">
        <w:rPr>
          <w:rFonts w:ascii="Times" w:hAnsi="Times" w:cs="Times New Roman"/>
          <w:i/>
          <w:sz w:val="20"/>
          <w:szCs w:val="20"/>
          <w:lang w:val="en-US"/>
        </w:rPr>
        <w:t>Encyclopedia of Life Sciences</w:t>
      </w:r>
      <w:r w:rsidRPr="009C1F6C">
        <w:rPr>
          <w:rFonts w:ascii="Times" w:hAnsi="Times" w:cs="Times New Roman"/>
          <w:sz w:val="20"/>
          <w:szCs w:val="20"/>
          <w:lang w:val="en-US"/>
        </w:rPr>
        <w:t xml:space="preserve"> 1 (2), 327</w:t>
      </w:r>
      <w:r w:rsidR="00AC3BE7">
        <w:rPr>
          <w:rFonts w:ascii="Times" w:hAnsi="Times" w:cs="Times New Roman"/>
          <w:sz w:val="20"/>
          <w:szCs w:val="20"/>
          <w:lang w:val="en-US"/>
        </w:rPr>
        <w:t>–</w:t>
      </w:r>
      <w:r w:rsidRPr="009C1F6C">
        <w:rPr>
          <w:rFonts w:ascii="Times" w:hAnsi="Times" w:cs="Times New Roman"/>
          <w:sz w:val="20"/>
          <w:szCs w:val="20"/>
          <w:lang w:val="en-US"/>
        </w:rPr>
        <w:t xml:space="preserve">339. John Wiley &amp; Sons Ltd., Chichester, UK. </w:t>
      </w:r>
      <w:hyperlink r:id="rId26" w:history="1">
        <w:r w:rsidR="008E2551" w:rsidRPr="00C90B58">
          <w:rPr>
            <w:rStyle w:val="Lienhypertexte"/>
            <w:rFonts w:ascii="Times" w:hAnsi="Times" w:cs="Times New Roman"/>
            <w:sz w:val="20"/>
            <w:szCs w:val="20"/>
            <w:lang w:val="en-US"/>
          </w:rPr>
          <w:t>https://doi.org/10.1002/9780470015902.a0029206</w:t>
        </w:r>
      </w:hyperlink>
      <w:r w:rsidR="008E2551">
        <w:rPr>
          <w:rFonts w:ascii="Times" w:hAnsi="Times" w:cs="Times New Roman"/>
          <w:sz w:val="20"/>
          <w:szCs w:val="20"/>
          <w:lang w:val="en-US"/>
        </w:rPr>
        <w:t xml:space="preserve"> </w:t>
      </w:r>
    </w:p>
    <w:p w:rsidR="009A7201" w:rsidRPr="00C1569B" w:rsidRDefault="002C7333" w:rsidP="009A7201">
      <w:pPr>
        <w:autoSpaceDE w:val="0"/>
        <w:autoSpaceDN w:val="0"/>
        <w:adjustRightInd w:val="0"/>
        <w:ind w:left="426" w:hanging="426"/>
        <w:rPr>
          <w:rFonts w:ascii="Times" w:hAnsi="Times" w:cs="Times New Roman"/>
          <w:sz w:val="20"/>
          <w:szCs w:val="20"/>
          <w:lang w:val="en-US"/>
        </w:rPr>
      </w:pPr>
      <w:r w:rsidRPr="009A7201">
        <w:rPr>
          <w:rFonts w:ascii="Times" w:hAnsi="Times" w:cs="Times New Roman"/>
          <w:sz w:val="20"/>
          <w:szCs w:val="20"/>
          <w:lang w:val="en-US"/>
        </w:rPr>
        <w:t xml:space="preserve">Hommay G., Wiss L., Reinbold C., Chadoeuf J., </w:t>
      </w:r>
      <w:r w:rsidRPr="009A7201">
        <w:rPr>
          <w:rFonts w:ascii="Times" w:hAnsi="Times" w:cs="Times New Roman"/>
          <w:b/>
          <w:sz w:val="20"/>
          <w:szCs w:val="20"/>
          <w:lang w:val="en-US"/>
        </w:rPr>
        <w:t>Herrbach É.,</w:t>
      </w:r>
      <w:r w:rsidRPr="009A7201">
        <w:rPr>
          <w:rFonts w:ascii="Times" w:hAnsi="Times" w:cs="Times New Roman"/>
          <w:sz w:val="20"/>
          <w:szCs w:val="20"/>
          <w:lang w:val="en-US"/>
        </w:rPr>
        <w:t xml:space="preserve"> 2020. Spatial distribution patterns of </w:t>
      </w:r>
      <w:r w:rsidRPr="009A7201">
        <w:rPr>
          <w:rFonts w:ascii="Times" w:hAnsi="Times" w:cs="Times New Roman"/>
          <w:i/>
          <w:sz w:val="20"/>
          <w:szCs w:val="20"/>
          <w:lang w:val="en-US"/>
        </w:rPr>
        <w:t>Parthenolecanium corni</w:t>
      </w:r>
      <w:r w:rsidRPr="009A7201">
        <w:rPr>
          <w:rFonts w:ascii="Times" w:hAnsi="Times" w:cs="Times New Roman"/>
          <w:sz w:val="20"/>
          <w:szCs w:val="20"/>
          <w:lang w:val="en-US"/>
        </w:rPr>
        <w:t xml:space="preserve"> (Hemiptera, Coccidae), and of the ampelovirus </w:t>
      </w:r>
      <w:r w:rsidRPr="009A7201">
        <w:rPr>
          <w:rFonts w:ascii="Times" w:hAnsi="Times" w:cs="Times New Roman"/>
          <w:sz w:val="20"/>
          <w:szCs w:val="20"/>
          <w:lang w:val="en-GB"/>
        </w:rPr>
        <w:t>GLRaV-1 and the vitivirus GVA in a commercial vineyard</w:t>
      </w:r>
      <w:r w:rsidRPr="009A7201">
        <w:rPr>
          <w:rFonts w:ascii="Times" w:hAnsi="Times" w:cs="Times New Roman"/>
          <w:sz w:val="20"/>
          <w:szCs w:val="20"/>
          <w:lang w:val="en-US"/>
        </w:rPr>
        <w:t xml:space="preserve">. </w:t>
      </w:r>
      <w:r w:rsidRPr="00C1569B">
        <w:rPr>
          <w:rFonts w:ascii="Times" w:hAnsi="Times" w:cs="Times New Roman"/>
          <w:i/>
          <w:sz w:val="20"/>
          <w:szCs w:val="20"/>
          <w:lang w:val="en-US"/>
        </w:rPr>
        <w:t>Viruses</w:t>
      </w:r>
      <w:r w:rsidRPr="00C1569B">
        <w:rPr>
          <w:rFonts w:ascii="Times" w:hAnsi="Times" w:cs="Times New Roman"/>
          <w:sz w:val="20"/>
          <w:szCs w:val="20"/>
          <w:lang w:val="en-US"/>
        </w:rPr>
        <w:t xml:space="preserve"> 12, 1447. </w:t>
      </w:r>
      <w:hyperlink r:id="rId27" w:history="1">
        <w:r w:rsidR="008E2551" w:rsidRPr="00C90B58">
          <w:rPr>
            <w:rStyle w:val="Lienhypertexte"/>
            <w:rFonts w:ascii="Times" w:hAnsi="Times" w:cs="Times New Roman"/>
            <w:sz w:val="20"/>
            <w:szCs w:val="20"/>
            <w:lang w:val="en-US"/>
          </w:rPr>
          <w:t>https://doi.org/10.3390/v12121447</w:t>
        </w:r>
      </w:hyperlink>
      <w:r w:rsidR="008E2551">
        <w:rPr>
          <w:rFonts w:ascii="Times" w:hAnsi="Times" w:cs="Times New Roman"/>
          <w:sz w:val="20"/>
          <w:szCs w:val="20"/>
          <w:lang w:val="en-US"/>
        </w:rPr>
        <w:t xml:space="preserve"> </w:t>
      </w:r>
    </w:p>
    <w:p w:rsidR="003D4E94" w:rsidRDefault="003D4E94" w:rsidP="009A7201">
      <w:pPr>
        <w:autoSpaceDE w:val="0"/>
        <w:autoSpaceDN w:val="0"/>
        <w:adjustRightInd w:val="0"/>
        <w:ind w:left="426" w:hanging="426"/>
        <w:rPr>
          <w:rFonts w:ascii="Times" w:hAnsi="Times"/>
          <w:b/>
          <w:sz w:val="20"/>
          <w:szCs w:val="20"/>
          <w:lang w:val="en-US"/>
        </w:rPr>
      </w:pPr>
    </w:p>
    <w:p w:rsidR="002009AC" w:rsidRDefault="002009AC" w:rsidP="009A7201">
      <w:pPr>
        <w:autoSpaceDE w:val="0"/>
        <w:autoSpaceDN w:val="0"/>
        <w:adjustRightInd w:val="0"/>
        <w:ind w:left="426" w:hanging="426"/>
        <w:rPr>
          <w:rFonts w:ascii="Times" w:hAnsi="Times"/>
          <w:b/>
          <w:sz w:val="20"/>
          <w:szCs w:val="20"/>
          <w:lang w:val="en-US"/>
        </w:rPr>
      </w:pPr>
      <w:r>
        <w:rPr>
          <w:rFonts w:ascii="Times" w:hAnsi="Times"/>
          <w:b/>
          <w:sz w:val="20"/>
          <w:szCs w:val="20"/>
          <w:lang w:val="en-US"/>
        </w:rPr>
        <w:t>2021</w:t>
      </w:r>
    </w:p>
    <w:p w:rsidR="009A7201" w:rsidRPr="00C1569B" w:rsidRDefault="009A7201" w:rsidP="009A7201">
      <w:pPr>
        <w:autoSpaceDE w:val="0"/>
        <w:autoSpaceDN w:val="0"/>
        <w:adjustRightInd w:val="0"/>
        <w:ind w:left="426" w:hanging="426"/>
        <w:rPr>
          <w:rFonts w:ascii="Times" w:hAnsi="Times" w:cs="Times New Roman"/>
          <w:sz w:val="20"/>
          <w:szCs w:val="20"/>
          <w:lang w:val="en-US"/>
        </w:rPr>
      </w:pPr>
      <w:r w:rsidRPr="009A7201">
        <w:rPr>
          <w:rFonts w:ascii="Times" w:hAnsi="Times"/>
          <w:b/>
          <w:sz w:val="20"/>
          <w:szCs w:val="20"/>
          <w:lang w:val="en-US"/>
        </w:rPr>
        <w:t>Herrbach É.,</w:t>
      </w:r>
      <w:r w:rsidRPr="009A7201">
        <w:rPr>
          <w:rFonts w:ascii="Times" w:hAnsi="Times"/>
          <w:sz w:val="20"/>
          <w:szCs w:val="20"/>
          <w:lang w:val="en-US"/>
        </w:rPr>
        <w:t xml:space="preserve"> Chesnais Q., 2021.</w:t>
      </w:r>
      <w:r w:rsidRPr="009A7201">
        <w:rPr>
          <w:rFonts w:ascii="Times" w:eastAsia="Hiragino Maru Gothic ProN W4" w:hAnsi="Times"/>
          <w:sz w:val="20"/>
          <w:szCs w:val="20"/>
          <w:lang w:val="en-US"/>
        </w:rPr>
        <w:t xml:space="preserve"> </w:t>
      </w:r>
      <w:r w:rsidRPr="009A7201">
        <w:rPr>
          <w:rFonts w:ascii="Times" w:hAnsi="Times"/>
          <w:bCs/>
          <w:color w:val="000000"/>
          <w:sz w:val="20"/>
          <w:szCs w:val="20"/>
          <w:lang w:val="en-US"/>
        </w:rPr>
        <w:t xml:space="preserve">Vector transmission of plant viruses. </w:t>
      </w:r>
      <w:r w:rsidRPr="009A7201">
        <w:rPr>
          <w:rFonts w:ascii="Times" w:hAnsi="Times"/>
          <w:i/>
          <w:sz w:val="20"/>
          <w:szCs w:val="20"/>
          <w:lang w:val="en-US"/>
        </w:rPr>
        <w:t>In</w:t>
      </w:r>
      <w:r w:rsidRPr="009A7201">
        <w:rPr>
          <w:rFonts w:ascii="Times" w:hAnsi="Times"/>
          <w:sz w:val="20"/>
          <w:szCs w:val="20"/>
          <w:lang w:val="en-US"/>
        </w:rPr>
        <w:t xml:space="preserve"> Bamford D.H., Zuckerman M. (Eds), </w:t>
      </w:r>
      <w:r w:rsidRPr="009A7201">
        <w:rPr>
          <w:rFonts w:ascii="Times" w:hAnsi="Times"/>
          <w:i/>
          <w:sz w:val="20"/>
          <w:szCs w:val="20"/>
          <w:lang w:val="en-US"/>
        </w:rPr>
        <w:t>Encyc</w:t>
      </w:r>
      <w:r w:rsidRPr="009A7201">
        <w:rPr>
          <w:rFonts w:ascii="Times" w:hAnsi="Times"/>
          <w:i/>
          <w:color w:val="000000"/>
          <w:sz w:val="20"/>
          <w:szCs w:val="20"/>
          <w:lang w:val="en-US"/>
        </w:rPr>
        <w:t>lopedia of Virology, 4</w:t>
      </w:r>
      <w:r w:rsidRPr="009A7201">
        <w:rPr>
          <w:rFonts w:ascii="Times" w:hAnsi="Times"/>
          <w:i/>
          <w:color w:val="000000"/>
          <w:sz w:val="20"/>
          <w:szCs w:val="20"/>
          <w:vertAlign w:val="superscript"/>
          <w:lang w:val="en-US"/>
        </w:rPr>
        <w:t>th</w:t>
      </w:r>
      <w:r w:rsidRPr="009A7201">
        <w:rPr>
          <w:rFonts w:ascii="Times" w:hAnsi="Times"/>
          <w:i/>
          <w:color w:val="000000"/>
          <w:sz w:val="20"/>
          <w:szCs w:val="20"/>
          <w:lang w:val="en-US"/>
        </w:rPr>
        <w:t xml:space="preserve"> ed.</w:t>
      </w:r>
      <w:r w:rsidRPr="009A7201">
        <w:rPr>
          <w:rFonts w:ascii="Times" w:hAnsi="Times"/>
          <w:color w:val="000000"/>
          <w:sz w:val="20"/>
          <w:szCs w:val="20"/>
          <w:lang w:val="en-US"/>
        </w:rPr>
        <w:t xml:space="preserve">, </w:t>
      </w:r>
      <w:r w:rsidRPr="009A7201">
        <w:rPr>
          <w:rFonts w:ascii="Times" w:hAnsi="Times"/>
          <w:sz w:val="20"/>
          <w:szCs w:val="20"/>
          <w:lang w:val="en-US"/>
        </w:rPr>
        <w:t xml:space="preserve">vol. 3, pp. 106115. </w:t>
      </w:r>
      <w:r w:rsidRPr="009A7201">
        <w:rPr>
          <w:rFonts w:ascii="Times" w:hAnsi="Times"/>
          <w:bCs/>
          <w:color w:val="000000"/>
          <w:sz w:val="20"/>
          <w:szCs w:val="20"/>
          <w:lang w:val="en-US"/>
        </w:rPr>
        <w:t>Academic Press</w:t>
      </w:r>
      <w:r w:rsidRPr="009A7201">
        <w:rPr>
          <w:rFonts w:ascii="Times" w:hAnsi="Times"/>
          <w:sz w:val="20"/>
          <w:szCs w:val="20"/>
          <w:lang w:val="en-US"/>
        </w:rPr>
        <w:t xml:space="preserve">, Oxford. </w:t>
      </w:r>
      <w:hyperlink r:id="rId28" w:history="1">
        <w:r w:rsidR="008E2551" w:rsidRPr="00C90B58">
          <w:rPr>
            <w:rStyle w:val="Lienhypertexte"/>
            <w:rFonts w:ascii="Times" w:hAnsi="Times"/>
            <w:sz w:val="20"/>
            <w:szCs w:val="20"/>
            <w:lang w:val="en-US"/>
          </w:rPr>
          <w:t>https://doi.org/10.1016/B978-0-12-809633-8.21349-6</w:t>
        </w:r>
      </w:hyperlink>
      <w:r w:rsidR="008E2551">
        <w:rPr>
          <w:rFonts w:ascii="Times" w:hAnsi="Times"/>
          <w:sz w:val="20"/>
          <w:szCs w:val="20"/>
          <w:lang w:val="en-US"/>
        </w:rPr>
        <w:t xml:space="preserve"> </w:t>
      </w:r>
    </w:p>
    <w:p w:rsidR="009A7201" w:rsidRPr="00C1569B" w:rsidRDefault="009A7201" w:rsidP="009A7201">
      <w:pPr>
        <w:autoSpaceDE w:val="0"/>
        <w:autoSpaceDN w:val="0"/>
        <w:adjustRightInd w:val="0"/>
        <w:ind w:left="426" w:hanging="426"/>
        <w:rPr>
          <w:rFonts w:ascii="Times" w:hAnsi="Times" w:cs="Times New Roman"/>
          <w:sz w:val="20"/>
          <w:szCs w:val="20"/>
          <w:lang w:val="en-US"/>
        </w:rPr>
      </w:pPr>
      <w:r w:rsidRPr="009A7201">
        <w:rPr>
          <w:rFonts w:ascii="Times" w:hAnsi="Times"/>
          <w:sz w:val="20"/>
          <w:szCs w:val="20"/>
          <w:lang w:val="en-US"/>
        </w:rPr>
        <w:t xml:space="preserve">Hommay G., Alliaume A., Reinbold C., </w:t>
      </w:r>
      <w:r w:rsidRPr="009A7201">
        <w:rPr>
          <w:rFonts w:ascii="Times" w:hAnsi="Times"/>
          <w:b/>
          <w:sz w:val="20"/>
          <w:szCs w:val="20"/>
          <w:lang w:val="en-US"/>
        </w:rPr>
        <w:t>Herrbach É.,</w:t>
      </w:r>
      <w:r w:rsidRPr="009A7201">
        <w:rPr>
          <w:rFonts w:ascii="Times" w:hAnsi="Times"/>
          <w:sz w:val="20"/>
          <w:szCs w:val="20"/>
          <w:lang w:val="en-US"/>
        </w:rPr>
        <w:t xml:space="preserve"> 2021. Transmission of </w:t>
      </w:r>
      <w:r w:rsidRPr="009A7201">
        <w:rPr>
          <w:rFonts w:ascii="Times" w:hAnsi="Times"/>
          <w:i/>
          <w:sz w:val="20"/>
          <w:szCs w:val="20"/>
          <w:lang w:val="en-US"/>
        </w:rPr>
        <w:t>Grapevine leafroll-associated virus-1</w:t>
      </w:r>
      <w:r w:rsidRPr="009A7201">
        <w:rPr>
          <w:rFonts w:ascii="Times" w:hAnsi="Times"/>
          <w:sz w:val="20"/>
          <w:szCs w:val="20"/>
          <w:lang w:val="en-US"/>
        </w:rPr>
        <w:t xml:space="preserve"> (</w:t>
      </w:r>
      <w:r w:rsidRPr="009A7201">
        <w:rPr>
          <w:rFonts w:ascii="Times" w:hAnsi="Times"/>
          <w:i/>
          <w:sz w:val="20"/>
          <w:szCs w:val="20"/>
          <w:lang w:val="en-US"/>
        </w:rPr>
        <w:t>Ampelovirus</w:t>
      </w:r>
      <w:r w:rsidRPr="009A7201">
        <w:rPr>
          <w:rFonts w:ascii="Times" w:hAnsi="Times"/>
          <w:sz w:val="20"/>
          <w:szCs w:val="20"/>
          <w:lang w:val="en-US"/>
        </w:rPr>
        <w:t xml:space="preserve">) and </w:t>
      </w:r>
      <w:r w:rsidRPr="009A7201">
        <w:rPr>
          <w:rFonts w:ascii="Times" w:hAnsi="Times"/>
          <w:i/>
          <w:sz w:val="20"/>
          <w:szCs w:val="20"/>
          <w:lang w:val="en-US"/>
        </w:rPr>
        <w:t>Grapevine virus A</w:t>
      </w:r>
      <w:r w:rsidRPr="009A7201">
        <w:rPr>
          <w:rFonts w:ascii="Times" w:hAnsi="Times"/>
          <w:sz w:val="20"/>
          <w:szCs w:val="20"/>
          <w:lang w:val="en-US"/>
        </w:rPr>
        <w:t xml:space="preserve"> (</w:t>
      </w:r>
      <w:r w:rsidRPr="009A7201">
        <w:rPr>
          <w:rFonts w:ascii="Times" w:hAnsi="Times"/>
          <w:i/>
          <w:sz w:val="20"/>
          <w:szCs w:val="20"/>
          <w:lang w:val="en-US"/>
        </w:rPr>
        <w:t>Vitivirus</w:t>
      </w:r>
      <w:r w:rsidRPr="009A7201">
        <w:rPr>
          <w:rFonts w:ascii="Times" w:hAnsi="Times"/>
          <w:sz w:val="20"/>
          <w:szCs w:val="20"/>
          <w:lang w:val="en-US"/>
        </w:rPr>
        <w:t xml:space="preserve">) by the Cottony grape scale </w:t>
      </w:r>
      <w:r w:rsidRPr="009A7201">
        <w:rPr>
          <w:rFonts w:ascii="Times" w:hAnsi="Times"/>
          <w:i/>
          <w:sz w:val="20"/>
          <w:szCs w:val="20"/>
          <w:lang w:val="en-US"/>
        </w:rPr>
        <w:t>Pulvinaria vitis</w:t>
      </w:r>
      <w:r w:rsidRPr="009A7201">
        <w:rPr>
          <w:rFonts w:ascii="Times" w:hAnsi="Times"/>
          <w:sz w:val="20"/>
          <w:szCs w:val="20"/>
          <w:lang w:val="en-US"/>
        </w:rPr>
        <w:t xml:space="preserve"> (Hemiptera: </w:t>
      </w:r>
      <w:r w:rsidRPr="009A7201">
        <w:rPr>
          <w:rFonts w:ascii="Times" w:hAnsi="Times"/>
          <w:i/>
          <w:sz w:val="20"/>
          <w:szCs w:val="20"/>
          <w:lang w:val="en-US"/>
        </w:rPr>
        <w:t>Coccidae</w:t>
      </w:r>
      <w:r w:rsidRPr="009A7201">
        <w:rPr>
          <w:rFonts w:ascii="Times" w:hAnsi="Times"/>
          <w:sz w:val="20"/>
          <w:szCs w:val="20"/>
          <w:lang w:val="en-US"/>
        </w:rPr>
        <w:t xml:space="preserve">). </w:t>
      </w:r>
      <w:r w:rsidRPr="009A7201">
        <w:rPr>
          <w:rFonts w:ascii="Times" w:hAnsi="Times"/>
          <w:i/>
          <w:sz w:val="20"/>
          <w:szCs w:val="20"/>
          <w:lang w:val="en-US"/>
        </w:rPr>
        <w:t>Viruses</w:t>
      </w:r>
      <w:r w:rsidRPr="009A7201">
        <w:rPr>
          <w:rFonts w:ascii="Times" w:hAnsi="Times"/>
          <w:sz w:val="20"/>
          <w:szCs w:val="20"/>
          <w:lang w:val="en-US"/>
        </w:rPr>
        <w:t xml:space="preserve"> 13, 2081. [doi:</w:t>
      </w:r>
      <w:r w:rsidR="008E2551" w:rsidRPr="00AF7719">
        <w:rPr>
          <w:lang w:val="en-US"/>
        </w:rPr>
        <w:t xml:space="preserve"> </w:t>
      </w:r>
      <w:hyperlink r:id="rId29" w:history="1">
        <w:r w:rsidR="008E2551" w:rsidRPr="00C90B58">
          <w:rPr>
            <w:rStyle w:val="Lienhypertexte"/>
            <w:rFonts w:ascii="Times" w:hAnsi="Times"/>
            <w:sz w:val="20"/>
            <w:szCs w:val="20"/>
            <w:lang w:val="en-US"/>
          </w:rPr>
          <w:t>https://doi.org/10.3390/v13102081</w:t>
        </w:r>
      </w:hyperlink>
      <w:r w:rsidR="008E2551">
        <w:rPr>
          <w:rFonts w:ascii="Times" w:hAnsi="Times"/>
          <w:sz w:val="20"/>
          <w:szCs w:val="20"/>
          <w:lang w:val="en-US"/>
        </w:rPr>
        <w:t xml:space="preserve"> </w:t>
      </w:r>
    </w:p>
    <w:p w:rsidR="003D4E94" w:rsidRDefault="003D4E94" w:rsidP="00944E66">
      <w:pPr>
        <w:autoSpaceDE w:val="0"/>
        <w:autoSpaceDN w:val="0"/>
        <w:adjustRightInd w:val="0"/>
        <w:ind w:left="425" w:hanging="425"/>
        <w:rPr>
          <w:rFonts w:ascii="Times" w:hAnsi="Times"/>
          <w:b/>
          <w:sz w:val="20"/>
          <w:szCs w:val="20"/>
          <w:lang w:val="en-US"/>
        </w:rPr>
      </w:pPr>
    </w:p>
    <w:p w:rsidR="002009AC" w:rsidRDefault="002009AC" w:rsidP="00944E66">
      <w:pPr>
        <w:autoSpaceDE w:val="0"/>
        <w:autoSpaceDN w:val="0"/>
        <w:adjustRightInd w:val="0"/>
        <w:ind w:left="425" w:hanging="425"/>
        <w:rPr>
          <w:rFonts w:ascii="Times" w:hAnsi="Times"/>
          <w:b/>
          <w:sz w:val="20"/>
          <w:szCs w:val="20"/>
          <w:lang w:val="en-US"/>
        </w:rPr>
      </w:pPr>
      <w:r>
        <w:rPr>
          <w:rFonts w:ascii="Times" w:hAnsi="Times"/>
          <w:b/>
          <w:sz w:val="20"/>
          <w:szCs w:val="20"/>
          <w:lang w:val="en-US"/>
        </w:rPr>
        <w:t>2022</w:t>
      </w:r>
    </w:p>
    <w:p w:rsidR="00B778E7" w:rsidRDefault="009A7201" w:rsidP="00944E66">
      <w:pPr>
        <w:autoSpaceDE w:val="0"/>
        <w:autoSpaceDN w:val="0"/>
        <w:adjustRightInd w:val="0"/>
        <w:ind w:left="425" w:hanging="425"/>
        <w:rPr>
          <w:rFonts w:ascii="Times" w:hAnsi="Times" w:cs="Times New Roman"/>
          <w:sz w:val="20"/>
          <w:szCs w:val="20"/>
          <w:lang w:val="en-US"/>
        </w:rPr>
      </w:pPr>
      <w:r w:rsidRPr="009A7201">
        <w:rPr>
          <w:rFonts w:ascii="Times" w:hAnsi="Times"/>
          <w:sz w:val="20"/>
          <w:szCs w:val="20"/>
          <w:lang w:val="en-US"/>
        </w:rPr>
        <w:t xml:space="preserve">Hommay G., Beuve M., </w:t>
      </w:r>
      <w:r w:rsidRPr="009A7201">
        <w:rPr>
          <w:rFonts w:ascii="Times" w:hAnsi="Times"/>
          <w:b/>
          <w:sz w:val="20"/>
          <w:szCs w:val="20"/>
          <w:lang w:val="en-US"/>
        </w:rPr>
        <w:t>Herrbach É.,</w:t>
      </w:r>
      <w:r w:rsidRPr="009A7201">
        <w:rPr>
          <w:rFonts w:ascii="Times" w:hAnsi="Times"/>
          <w:sz w:val="20"/>
          <w:szCs w:val="20"/>
          <w:lang w:val="en-US"/>
        </w:rPr>
        <w:t xml:space="preserve"> </w:t>
      </w:r>
      <w:r w:rsidR="00944E66" w:rsidRPr="00944E66">
        <w:rPr>
          <w:rFonts w:ascii="Times" w:hAnsi="Times"/>
          <w:sz w:val="20"/>
          <w:szCs w:val="20"/>
          <w:lang w:val="en-US"/>
        </w:rPr>
        <w:t>2022a</w:t>
      </w:r>
      <w:r w:rsidRPr="009A7201">
        <w:rPr>
          <w:rFonts w:ascii="Times" w:hAnsi="Times"/>
          <w:sz w:val="20"/>
          <w:szCs w:val="20"/>
          <w:lang w:val="en-US"/>
        </w:rPr>
        <w:t xml:space="preserve">. Transmission of grapevine ampelo- and vitiviruses by the Bohemian mealybug </w:t>
      </w:r>
      <w:r w:rsidRPr="009A7201">
        <w:rPr>
          <w:rFonts w:ascii="Times" w:hAnsi="Times"/>
          <w:i/>
          <w:sz w:val="20"/>
          <w:szCs w:val="20"/>
          <w:lang w:val="en-US"/>
        </w:rPr>
        <w:t xml:space="preserve">Heliococcus bohemicus </w:t>
      </w:r>
      <w:r w:rsidRPr="009A7201">
        <w:rPr>
          <w:rFonts w:ascii="Times" w:hAnsi="Times"/>
          <w:sz w:val="20"/>
          <w:szCs w:val="20"/>
          <w:lang w:val="en-US"/>
        </w:rPr>
        <w:t>Šulc (</w:t>
      </w:r>
      <w:r w:rsidRPr="009A7201">
        <w:rPr>
          <w:rFonts w:ascii="Times" w:hAnsi="Times"/>
          <w:i/>
          <w:sz w:val="20"/>
          <w:szCs w:val="20"/>
          <w:lang w:val="en-US"/>
        </w:rPr>
        <w:t>Hemiptera: Pseudococcidae</w:t>
      </w:r>
      <w:r w:rsidRPr="009A7201">
        <w:rPr>
          <w:rFonts w:ascii="Times" w:hAnsi="Times"/>
          <w:sz w:val="20"/>
          <w:szCs w:val="20"/>
          <w:lang w:val="en-US"/>
        </w:rPr>
        <w:t xml:space="preserve">). </w:t>
      </w:r>
      <w:r w:rsidRPr="009A7201">
        <w:rPr>
          <w:rFonts w:ascii="Times" w:hAnsi="Times"/>
          <w:i/>
          <w:sz w:val="20"/>
          <w:szCs w:val="20"/>
          <w:lang w:val="en-US"/>
        </w:rPr>
        <w:t>Viruses</w:t>
      </w:r>
      <w:r w:rsidRPr="009A7201">
        <w:rPr>
          <w:rFonts w:ascii="Times" w:hAnsi="Times"/>
          <w:sz w:val="20"/>
          <w:szCs w:val="20"/>
          <w:lang w:val="en-US"/>
        </w:rPr>
        <w:t xml:space="preserve"> 14, 1430. </w:t>
      </w:r>
      <w:hyperlink r:id="rId30" w:history="1">
        <w:r w:rsidRPr="009A7201">
          <w:rPr>
            <w:rStyle w:val="Lienhypertexte"/>
            <w:rFonts w:ascii="Times" w:hAnsi="Times"/>
            <w:sz w:val="20"/>
            <w:szCs w:val="20"/>
            <w:lang w:val="en-US"/>
          </w:rPr>
          <w:t>https://doi.org/10.3390/v14071430</w:t>
        </w:r>
      </w:hyperlink>
    </w:p>
    <w:p w:rsidR="00B778E7" w:rsidRDefault="009A7201" w:rsidP="00B778E7">
      <w:pPr>
        <w:autoSpaceDE w:val="0"/>
        <w:autoSpaceDN w:val="0"/>
        <w:adjustRightInd w:val="0"/>
        <w:ind w:left="426" w:hanging="426"/>
        <w:rPr>
          <w:rFonts w:ascii="Times" w:hAnsi="Times"/>
          <w:color w:val="000000" w:themeColor="text1"/>
          <w:sz w:val="20"/>
          <w:szCs w:val="20"/>
          <w:lang w:val="en-US"/>
        </w:rPr>
      </w:pPr>
      <w:r w:rsidRPr="009A7201">
        <w:rPr>
          <w:rFonts w:ascii="Times" w:hAnsi="Times"/>
          <w:sz w:val="20"/>
          <w:szCs w:val="20"/>
          <w:lang w:val="en-US"/>
        </w:rPr>
        <w:t xml:space="preserve">Hoffmann C., </w:t>
      </w:r>
      <w:r w:rsidRPr="009A7201">
        <w:rPr>
          <w:rFonts w:ascii="Times" w:hAnsi="Times"/>
          <w:b/>
          <w:sz w:val="20"/>
          <w:szCs w:val="20"/>
          <w:lang w:val="en-US"/>
        </w:rPr>
        <w:t>Herrbach É.,</w:t>
      </w:r>
      <w:r w:rsidRPr="009A7201">
        <w:rPr>
          <w:rFonts w:ascii="Times" w:hAnsi="Times"/>
          <w:sz w:val="20"/>
          <w:szCs w:val="20"/>
          <w:lang w:val="en-US"/>
        </w:rPr>
        <w:t xml:space="preserve"> Fuchs R., Kamecke D., Winterhagen P., Schulze-Sylvester M., Trippel C., Kortekamp A., 2022.</w:t>
      </w:r>
      <w:r w:rsidRPr="009A7201">
        <w:rPr>
          <w:rFonts w:ascii="Times" w:eastAsia="Hiragino Maru Gothic ProN W4" w:hAnsi="Times"/>
          <w:sz w:val="20"/>
          <w:szCs w:val="20"/>
          <w:lang w:val="en-US"/>
        </w:rPr>
        <w:t xml:space="preserve"> </w:t>
      </w:r>
      <w:r w:rsidRPr="009A7201">
        <w:rPr>
          <w:rFonts w:ascii="Times" w:hAnsi="Times"/>
          <w:sz w:val="20"/>
          <w:szCs w:val="20"/>
          <w:lang w:val="en-US"/>
        </w:rPr>
        <w:t>Bericht vom Fachgespräch zur</w:t>
      </w:r>
      <w:r w:rsidRPr="009A7201">
        <w:rPr>
          <w:rFonts w:ascii="Times" w:hAnsi="Times"/>
          <w:i/>
          <w:sz w:val="20"/>
          <w:szCs w:val="20"/>
          <w:lang w:val="en-US"/>
        </w:rPr>
        <w:t xml:space="preserve"> </w:t>
      </w:r>
      <w:r w:rsidRPr="009A7201">
        <w:rPr>
          <w:rFonts w:ascii="Times" w:hAnsi="Times"/>
          <w:sz w:val="20"/>
          <w:szCs w:val="20"/>
          <w:lang w:val="en-US"/>
        </w:rPr>
        <w:t>Rolle von Schild- und Schmierläusen als Virusvektoren im Weinbau am Oberrhein – Management und Beratungsempfehlung</w:t>
      </w:r>
      <w:r w:rsidRPr="009A7201">
        <w:rPr>
          <w:rFonts w:ascii="Times" w:eastAsia="Hiragino Maru Gothic ProN W4" w:hAnsi="Times"/>
          <w:sz w:val="20"/>
          <w:szCs w:val="20"/>
          <w:lang w:val="en-US"/>
        </w:rPr>
        <w:t xml:space="preserve">. </w:t>
      </w:r>
      <w:r w:rsidRPr="00B778E7">
        <w:rPr>
          <w:rFonts w:ascii="Times" w:eastAsia="Hiragino Maru Gothic ProN W4" w:hAnsi="Times"/>
          <w:i/>
          <w:sz w:val="20"/>
          <w:szCs w:val="20"/>
          <w:lang w:val="en-US"/>
        </w:rPr>
        <w:t>Journal für Kulturpflanzen</w:t>
      </w:r>
      <w:r w:rsidRPr="00B778E7">
        <w:rPr>
          <w:rFonts w:ascii="Times" w:hAnsi="Times"/>
          <w:i/>
          <w:sz w:val="20"/>
          <w:szCs w:val="20"/>
          <w:lang w:val="en-US"/>
        </w:rPr>
        <w:t xml:space="preserve"> </w:t>
      </w:r>
      <w:r w:rsidRPr="00B778E7">
        <w:rPr>
          <w:rFonts w:ascii="Times" w:hAnsi="Times"/>
          <w:sz w:val="20"/>
          <w:szCs w:val="20"/>
          <w:lang w:val="en-US"/>
        </w:rPr>
        <w:t xml:space="preserve">74 (07-08), 185-191. </w:t>
      </w:r>
      <w:hyperlink r:id="rId31" w:history="1">
        <w:r w:rsidRPr="00B778E7">
          <w:rPr>
            <w:rStyle w:val="Lienhypertexte"/>
            <w:rFonts w:ascii="Times" w:hAnsi="Times"/>
            <w:sz w:val="20"/>
            <w:szCs w:val="20"/>
            <w:lang w:val="en-US"/>
          </w:rPr>
          <w:t>https://doi.org/10.5073/JfK.2022.07-08.04</w:t>
        </w:r>
      </w:hyperlink>
      <w:r w:rsidRPr="00B778E7">
        <w:rPr>
          <w:rFonts w:ascii="Times" w:hAnsi="Times"/>
          <w:color w:val="000000" w:themeColor="text1"/>
          <w:sz w:val="20"/>
          <w:szCs w:val="20"/>
          <w:lang w:val="en-US"/>
        </w:rPr>
        <w:t xml:space="preserve"> </w:t>
      </w:r>
    </w:p>
    <w:p w:rsidR="009A7201" w:rsidRPr="00944E66" w:rsidRDefault="00B778E7" w:rsidP="002009AC">
      <w:pPr>
        <w:autoSpaceDE w:val="0"/>
        <w:autoSpaceDN w:val="0"/>
        <w:adjustRightInd w:val="0"/>
        <w:ind w:left="426" w:hanging="426"/>
        <w:rPr>
          <w:rFonts w:ascii="Times" w:hAnsi="Times" w:cs="Times New Roman"/>
          <w:sz w:val="20"/>
          <w:szCs w:val="20"/>
        </w:rPr>
      </w:pPr>
      <w:r w:rsidRPr="00C1569B">
        <w:rPr>
          <w:rFonts w:ascii="Times" w:hAnsi="Times"/>
          <w:sz w:val="20"/>
          <w:szCs w:val="20"/>
          <w:lang w:val="en-US"/>
        </w:rPr>
        <w:t xml:space="preserve">Hommay G., </w:t>
      </w:r>
      <w:r w:rsidRPr="00AD78C6">
        <w:rPr>
          <w:rFonts w:ascii="Times" w:hAnsi="Times"/>
          <w:sz w:val="20"/>
          <w:szCs w:val="20"/>
          <w:lang w:val="en-US"/>
        </w:rPr>
        <w:t xml:space="preserve">Beuve M., </w:t>
      </w:r>
      <w:r w:rsidRPr="00AD78C6">
        <w:rPr>
          <w:rFonts w:ascii="Times" w:hAnsi="Times"/>
          <w:b/>
          <w:sz w:val="20"/>
          <w:szCs w:val="20"/>
          <w:lang w:val="en-US"/>
        </w:rPr>
        <w:t>Herrbach É.,</w:t>
      </w:r>
      <w:r w:rsidRPr="00AD78C6">
        <w:rPr>
          <w:rFonts w:ascii="Times" w:hAnsi="Times"/>
          <w:sz w:val="20"/>
          <w:szCs w:val="20"/>
          <w:lang w:val="en-US"/>
        </w:rPr>
        <w:t xml:space="preserve"> </w:t>
      </w:r>
      <w:r w:rsidR="00AD78C6" w:rsidRPr="00944E66">
        <w:rPr>
          <w:rFonts w:ascii="Times" w:hAnsi="Times"/>
          <w:sz w:val="20"/>
          <w:szCs w:val="20"/>
          <w:lang w:val="en-US"/>
        </w:rPr>
        <w:t>2022b.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 Transmission of </w:t>
      </w:r>
      <w:r w:rsidR="00944E66">
        <w:rPr>
          <w:rFonts w:ascii="Times" w:hAnsi="Times"/>
          <w:sz w:val="20"/>
          <w:szCs w:val="20"/>
          <w:lang w:val="en-US"/>
        </w:rPr>
        <w:t>g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rapevine </w:t>
      </w:r>
      <w:r w:rsidR="00944E66">
        <w:rPr>
          <w:rFonts w:ascii="Times" w:hAnsi="Times"/>
          <w:sz w:val="20"/>
          <w:szCs w:val="20"/>
          <w:lang w:val="en-US"/>
        </w:rPr>
        <w:t>l</w:t>
      </w:r>
      <w:r w:rsidR="00AD78C6" w:rsidRPr="00AD78C6">
        <w:rPr>
          <w:rFonts w:ascii="Times" w:hAnsi="Times"/>
          <w:sz w:val="20"/>
          <w:szCs w:val="20"/>
          <w:lang w:val="en-US"/>
        </w:rPr>
        <w:t>eafroll-</w:t>
      </w:r>
      <w:r w:rsidR="00944E66">
        <w:rPr>
          <w:rFonts w:ascii="Times" w:hAnsi="Times"/>
          <w:sz w:val="20"/>
          <w:szCs w:val="20"/>
          <w:lang w:val="en-US"/>
        </w:rPr>
        <w:t>a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ssociated </w:t>
      </w:r>
      <w:r w:rsidR="00944E66">
        <w:rPr>
          <w:rFonts w:ascii="Times" w:hAnsi="Times"/>
          <w:sz w:val="20"/>
          <w:szCs w:val="20"/>
          <w:lang w:val="en-US"/>
        </w:rPr>
        <w:t>v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iruses and </w:t>
      </w:r>
      <w:r w:rsidR="00944E66">
        <w:rPr>
          <w:rFonts w:ascii="Times" w:hAnsi="Times"/>
          <w:sz w:val="20"/>
          <w:szCs w:val="20"/>
          <w:lang w:val="en-US"/>
        </w:rPr>
        <w:t>gr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apevine </w:t>
      </w:r>
      <w:r w:rsidR="00944E66">
        <w:rPr>
          <w:rFonts w:ascii="Times" w:hAnsi="Times"/>
          <w:sz w:val="20"/>
          <w:szCs w:val="20"/>
          <w:lang w:val="en-US"/>
        </w:rPr>
        <w:t>v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irus A by </w:t>
      </w:r>
      <w:r w:rsidR="00944E66">
        <w:rPr>
          <w:rFonts w:ascii="Times" w:hAnsi="Times"/>
          <w:sz w:val="20"/>
          <w:szCs w:val="20"/>
          <w:lang w:val="en-US"/>
        </w:rPr>
        <w:t>v</w:t>
      </w:r>
      <w:r w:rsidR="00AD78C6" w:rsidRPr="00AD78C6">
        <w:rPr>
          <w:rFonts w:ascii="Times" w:hAnsi="Times"/>
          <w:sz w:val="20"/>
          <w:szCs w:val="20"/>
          <w:lang w:val="en-US"/>
        </w:rPr>
        <w:t>ineyard-</w:t>
      </w:r>
      <w:r w:rsidR="00944E66">
        <w:rPr>
          <w:rFonts w:ascii="Times" w:hAnsi="Times"/>
          <w:sz w:val="20"/>
          <w:szCs w:val="20"/>
          <w:lang w:val="en-US"/>
        </w:rPr>
        <w:t>s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ampled </w:t>
      </w:r>
      <w:r w:rsidR="00944E66">
        <w:rPr>
          <w:rFonts w:ascii="Times" w:hAnsi="Times"/>
          <w:sz w:val="20"/>
          <w:szCs w:val="20"/>
          <w:lang w:val="en-US"/>
        </w:rPr>
        <w:t>s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oft </w:t>
      </w:r>
      <w:r w:rsidR="00944E66">
        <w:rPr>
          <w:rFonts w:ascii="Times" w:hAnsi="Times"/>
          <w:sz w:val="20"/>
          <w:szCs w:val="20"/>
          <w:lang w:val="en-US"/>
        </w:rPr>
        <w:t>s</w:t>
      </w:r>
      <w:r w:rsidR="00AD78C6" w:rsidRPr="00AD78C6">
        <w:rPr>
          <w:rFonts w:ascii="Times" w:hAnsi="Times"/>
          <w:sz w:val="20"/>
          <w:szCs w:val="20"/>
          <w:lang w:val="en-US"/>
        </w:rPr>
        <w:t>cales (</w:t>
      </w:r>
      <w:r w:rsidR="00AD78C6" w:rsidRPr="00AD78C6">
        <w:rPr>
          <w:rFonts w:ascii="Times" w:hAnsi="Times"/>
          <w:i/>
          <w:sz w:val="20"/>
          <w:szCs w:val="20"/>
          <w:lang w:val="en-US"/>
        </w:rPr>
        <w:t>Parthenolecanium corni</w:t>
      </w:r>
      <w:r w:rsidR="00AD78C6" w:rsidRPr="00AD78C6">
        <w:rPr>
          <w:rFonts w:ascii="Times" w:hAnsi="Times"/>
          <w:sz w:val="20"/>
          <w:szCs w:val="20"/>
          <w:lang w:val="en-US"/>
        </w:rPr>
        <w:t xml:space="preserve">, Hemiptera: Coccidae). </w:t>
      </w:r>
      <w:r w:rsidR="00AD78C6" w:rsidRPr="00944E66">
        <w:rPr>
          <w:rFonts w:ascii="Times" w:hAnsi="Times"/>
          <w:i/>
          <w:sz w:val="20"/>
          <w:szCs w:val="20"/>
        </w:rPr>
        <w:t>Viruses</w:t>
      </w:r>
      <w:r w:rsidR="00AD78C6" w:rsidRPr="00944E66">
        <w:rPr>
          <w:rFonts w:ascii="Times" w:hAnsi="Times"/>
          <w:sz w:val="20"/>
          <w:szCs w:val="20"/>
        </w:rPr>
        <w:t xml:space="preserve"> 14, 2679. </w:t>
      </w:r>
      <w:hyperlink r:id="rId32" w:history="1">
        <w:r w:rsidR="002009AC" w:rsidRPr="00944E66">
          <w:rPr>
            <w:rStyle w:val="Lienhypertexte"/>
            <w:rFonts w:ascii="Times" w:hAnsi="Times"/>
            <w:sz w:val="20"/>
            <w:szCs w:val="20"/>
          </w:rPr>
          <w:t>https://doi.org/10.3390/v14122679</w:t>
        </w:r>
      </w:hyperlink>
      <w:r w:rsidR="002009AC" w:rsidRPr="00944E66">
        <w:rPr>
          <w:rFonts w:ascii="Times" w:hAnsi="Times"/>
          <w:sz w:val="20"/>
          <w:szCs w:val="20"/>
        </w:rPr>
        <w:t xml:space="preserve"> </w:t>
      </w:r>
    </w:p>
    <w:p w:rsidR="009E0772" w:rsidRPr="00944E66" w:rsidRDefault="009E0772" w:rsidP="009C1F6C">
      <w:pPr>
        <w:autoSpaceDE w:val="0"/>
        <w:autoSpaceDN w:val="0"/>
        <w:adjustRightInd w:val="0"/>
        <w:ind w:left="426" w:hanging="426"/>
        <w:rPr>
          <w:rFonts w:ascii="Times" w:hAnsi="Times" w:cs="Times New Roman"/>
          <w:b/>
          <w:color w:val="000000"/>
          <w:sz w:val="20"/>
          <w:szCs w:val="20"/>
        </w:rPr>
      </w:pPr>
    </w:p>
    <w:p w:rsidR="00AE7601" w:rsidRPr="00944E66" w:rsidRDefault="00AE7601" w:rsidP="00AF7719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bookmarkStart w:id="0" w:name="_GoBack"/>
      <w:bookmarkEnd w:id="0"/>
    </w:p>
    <w:p w:rsidR="00AE7601" w:rsidRPr="00AD78C6" w:rsidRDefault="00AE7601" w:rsidP="00AE7601">
      <w:pPr>
        <w:autoSpaceDE w:val="0"/>
        <w:autoSpaceDN w:val="0"/>
        <w:adjustRightInd w:val="0"/>
        <w:ind w:left="426" w:hanging="426"/>
        <w:rPr>
          <w:rFonts w:ascii="Times" w:hAnsi="Times" w:cs="Times New Roman"/>
          <w:color w:val="000000"/>
          <w:sz w:val="20"/>
          <w:szCs w:val="20"/>
          <w:lang w:val="en-US"/>
        </w:rPr>
      </w:pPr>
      <w:r w:rsidRPr="00AD78C6">
        <w:rPr>
          <w:rFonts w:ascii="Times" w:hAnsi="Times" w:cs="Times New Roman"/>
          <w:color w:val="000000"/>
          <w:sz w:val="20"/>
          <w:szCs w:val="20"/>
          <w:lang w:val="en-US"/>
        </w:rPr>
        <w:t>(</w:t>
      </w:r>
      <w:r w:rsidR="009C091C">
        <w:rPr>
          <w:rFonts w:ascii="Times" w:hAnsi="Times" w:cs="Times New Roman"/>
          <w:color w:val="000000"/>
          <w:sz w:val="20"/>
          <w:szCs w:val="20"/>
          <w:lang w:val="en-US"/>
        </w:rPr>
        <w:t>Décembre</w:t>
      </w:r>
      <w:r w:rsidRPr="00AD78C6">
        <w:rPr>
          <w:rFonts w:ascii="Times" w:hAnsi="Times" w:cs="Times New Roman"/>
          <w:color w:val="000000"/>
          <w:sz w:val="20"/>
          <w:szCs w:val="20"/>
          <w:lang w:val="en-US"/>
        </w:rPr>
        <w:t xml:space="preserve"> </w:t>
      </w:r>
      <w:r w:rsidR="009C1F6C" w:rsidRPr="00AD78C6">
        <w:rPr>
          <w:rFonts w:ascii="Times" w:hAnsi="Times" w:cs="Times New Roman"/>
          <w:color w:val="000000"/>
          <w:sz w:val="20"/>
          <w:szCs w:val="20"/>
          <w:lang w:val="en-US"/>
        </w:rPr>
        <w:t>202</w:t>
      </w:r>
      <w:r w:rsidR="008C1323">
        <w:rPr>
          <w:rFonts w:ascii="Times" w:hAnsi="Times" w:cs="Times New Roman"/>
          <w:color w:val="000000"/>
          <w:sz w:val="20"/>
          <w:szCs w:val="20"/>
          <w:lang w:val="en-US"/>
        </w:rPr>
        <w:t>3</w:t>
      </w:r>
      <w:r w:rsidRPr="00AD78C6">
        <w:rPr>
          <w:rFonts w:ascii="Times" w:hAnsi="Times" w:cs="Times New Roman"/>
          <w:color w:val="000000"/>
          <w:sz w:val="20"/>
          <w:szCs w:val="20"/>
          <w:lang w:val="en-US"/>
        </w:rPr>
        <w:t>)</w:t>
      </w:r>
    </w:p>
    <w:p w:rsidR="009A7201" w:rsidRPr="009A7201" w:rsidRDefault="009A7201" w:rsidP="00AE7601">
      <w:pPr>
        <w:autoSpaceDE w:val="0"/>
        <w:autoSpaceDN w:val="0"/>
        <w:adjustRightInd w:val="0"/>
        <w:ind w:left="426" w:hanging="426"/>
        <w:rPr>
          <w:rFonts w:ascii="Times" w:hAnsi="Times" w:cs="Times New Roman"/>
          <w:color w:val="000000"/>
          <w:sz w:val="20"/>
          <w:szCs w:val="20"/>
          <w:lang w:val="en-US"/>
        </w:rPr>
      </w:pPr>
    </w:p>
    <w:p w:rsidR="00595F3A" w:rsidRPr="00AE7601" w:rsidRDefault="00AE7601" w:rsidP="00AE7601">
      <w:pPr>
        <w:ind w:left="426" w:hanging="426"/>
        <w:rPr>
          <w:lang w:val="en-US"/>
        </w:rPr>
      </w:pPr>
      <w:r w:rsidRPr="00AE7601">
        <w:rPr>
          <w:rFonts w:ascii="Times New Roman" w:hAnsi="Times New Roman" w:cs="Times New Roman"/>
          <w:color w:val="000000"/>
          <w:lang w:val="en-US"/>
        </w:rPr>
        <w:t>•</w:t>
      </w:r>
    </w:p>
    <w:sectPr w:rsidR="00595F3A" w:rsidRPr="00AE7601" w:rsidSect="00696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01"/>
    <w:rsid w:val="000B45AA"/>
    <w:rsid w:val="002009AC"/>
    <w:rsid w:val="00293C8D"/>
    <w:rsid w:val="002C7333"/>
    <w:rsid w:val="003D4E94"/>
    <w:rsid w:val="004B5910"/>
    <w:rsid w:val="00595F3A"/>
    <w:rsid w:val="006963E0"/>
    <w:rsid w:val="008C1323"/>
    <w:rsid w:val="008E2551"/>
    <w:rsid w:val="00944E66"/>
    <w:rsid w:val="009A7201"/>
    <w:rsid w:val="009C091C"/>
    <w:rsid w:val="009C1F6C"/>
    <w:rsid w:val="009E0086"/>
    <w:rsid w:val="009E0772"/>
    <w:rsid w:val="00AC3BE7"/>
    <w:rsid w:val="00AD78C6"/>
    <w:rsid w:val="00AE7601"/>
    <w:rsid w:val="00AF7719"/>
    <w:rsid w:val="00B778E7"/>
    <w:rsid w:val="00C1569B"/>
    <w:rsid w:val="00C30935"/>
    <w:rsid w:val="00C71DBC"/>
    <w:rsid w:val="00D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8B71"/>
  <w14:defaultImageDpi w14:val="32767"/>
  <w15:chartTrackingRefBased/>
  <w15:docId w15:val="{CCB0749D-714C-4845-8626-29448197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A720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2009A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0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0658-009-9474-7" TargetMode="External"/><Relationship Id="rId18" Type="http://schemas.openxmlformats.org/officeDocument/2006/relationships/hyperlink" Target="https://doi.org/10.1007/s10658-012-0099-x" TargetMode="External"/><Relationship Id="rId26" Type="http://schemas.openxmlformats.org/officeDocument/2006/relationships/hyperlink" Target="https://doi.org/10.1002/9780470015902.a00292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7/s00705-014-2245-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1128/JVI.79.15.9685&#8211;9693.2005" TargetMode="External"/><Relationship Id="rId12" Type="http://schemas.openxmlformats.org/officeDocument/2006/relationships/hyperlink" Target="https://doi.org/10.4454/jpp.v91i1.620" TargetMode="External"/><Relationship Id="rId17" Type="http://schemas.openxmlformats.org/officeDocument/2006/relationships/hyperlink" Target="https://doi.org/10.1094/PHYTO-10-11-0289" TargetMode="External"/><Relationship Id="rId25" Type="http://schemas.openxmlformats.org/officeDocument/2006/relationships/hyperlink" Target="https://doi.org/10.1111/aab.1250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002/9780470015902.a0000751.pub3" TargetMode="External"/><Relationship Id="rId20" Type="http://schemas.openxmlformats.org/officeDocument/2006/relationships/hyperlink" Target="https://doi.org/10.1017/S0007485313000667" TargetMode="External"/><Relationship Id="rId29" Type="http://schemas.openxmlformats.org/officeDocument/2006/relationships/hyperlink" Target="https://doi.org/10.3390/v1310208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11/j.1365-3059.2005.01155.x" TargetMode="External"/><Relationship Id="rId11" Type="http://schemas.openxmlformats.org/officeDocument/2006/relationships/hyperlink" Target="https://doi.org/10.1007/s10658-007-9244-3" TargetMode="External"/><Relationship Id="rId24" Type="http://schemas.openxmlformats.org/officeDocument/2006/relationships/hyperlink" Target="https://doi.org/10.1007/s00705-018-3995-3" TargetMode="External"/><Relationship Id="rId32" Type="http://schemas.openxmlformats.org/officeDocument/2006/relationships/hyperlink" Target="https://doi.org/10.3390/v14122679" TargetMode="External"/><Relationship Id="rId5" Type="http://schemas.openxmlformats.org/officeDocument/2006/relationships/hyperlink" Target="https://doi.org/10.1007/s00705-004-0307-x" TargetMode="External"/><Relationship Id="rId15" Type="http://schemas.openxmlformats.org/officeDocument/2006/relationships/hyperlink" Target="https://doi.org/10.1099/vir.0.016360-0" TargetMode="External"/><Relationship Id="rId23" Type="http://schemas.openxmlformats.org/officeDocument/2006/relationships/hyperlink" Target="https://doi.org/10.1007/s00705-018-3949-9" TargetMode="External"/><Relationship Id="rId28" Type="http://schemas.openxmlformats.org/officeDocument/2006/relationships/hyperlink" Target="https://doi.org/10.1016/B978-0-12-809633-8.21349-6" TargetMode="External"/><Relationship Id="rId10" Type="http://schemas.openxmlformats.org/officeDocument/2006/relationships/hyperlink" Target="https://doi.org/10.1094/PDIS-91-3-0326C" TargetMode="External"/><Relationship Id="rId19" Type="http://schemas.openxmlformats.org/officeDocument/2006/relationships/hyperlink" Target="https://doi.org/10.3389/fmicb.2013.00094" TargetMode="External"/><Relationship Id="rId31" Type="http://schemas.openxmlformats.org/officeDocument/2006/relationships/hyperlink" Target="https://doi.org/10.5073/JfK.2022.07-08.04" TargetMode="External"/><Relationship Id="rId4" Type="http://schemas.openxmlformats.org/officeDocument/2006/relationships/hyperlink" Target="https://doi.org/10.1099/vir.0.19415-0" TargetMode="External"/><Relationship Id="rId9" Type="http://schemas.openxmlformats.org/officeDocument/2006/relationships/hyperlink" Target="https://doi.org/10.1016/j.micron.2006.04.00" TargetMode="External"/><Relationship Id="rId14" Type="http://schemas.openxmlformats.org/officeDocument/2006/relationships/hyperlink" Target="https://doi.org/10.1186/1745-6150-4-21" TargetMode="External"/><Relationship Id="rId22" Type="http://schemas.openxmlformats.org/officeDocument/2006/relationships/hyperlink" Target="http://www.bulletinofinsectology.org/Contents/new-contents.htm" TargetMode="External"/><Relationship Id="rId27" Type="http://schemas.openxmlformats.org/officeDocument/2006/relationships/hyperlink" Target="https://doi.org/10.3390/v12121447" TargetMode="External"/><Relationship Id="rId30" Type="http://schemas.openxmlformats.org/officeDocument/2006/relationships/hyperlink" Target="https://doi.org/10.3390/v14071430" TargetMode="External"/><Relationship Id="rId8" Type="http://schemas.openxmlformats.org/officeDocument/2006/relationships/hyperlink" Target="https://doi.org/10.1038/npg.els.000428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2321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</dc:creator>
  <cp:keywords/>
  <dc:description/>
  <cp:lastModifiedBy>Etienne</cp:lastModifiedBy>
  <cp:revision>21</cp:revision>
  <dcterms:created xsi:type="dcterms:W3CDTF">2021-02-11T14:52:00Z</dcterms:created>
  <dcterms:modified xsi:type="dcterms:W3CDTF">2023-12-04T15:24:00Z</dcterms:modified>
</cp:coreProperties>
</file>